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37" w:rsidRDefault="00092E0F">
      <w:r>
        <w:t>In</w:t>
      </w:r>
      <w:r>
        <w:t xml:space="preserve"> compliance with Title VI of the Civil Rights Act of 1964, with Section 504 of the Rehabilitation Act of 1973 and with the Age Discrimination Act of 1975, </w:t>
      </w:r>
      <w:r>
        <w:t xml:space="preserve">Trio Home Health Care of San Diego </w:t>
      </w:r>
      <w:bookmarkStart w:id="0" w:name="_GoBack"/>
      <w:bookmarkEnd w:id="0"/>
      <w:r>
        <w:t>does not discriminate on the basis of race, color, gender, national origin, age or disability with regard to admission, access to treatment or employment. We will make every effort to comply with these and similar statutes.</w:t>
      </w:r>
    </w:p>
    <w:sectPr w:rsidR="00825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E0F"/>
    <w:rsid w:val="00092E0F"/>
    <w:rsid w:val="00825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cp:revision>
  <dcterms:created xsi:type="dcterms:W3CDTF">2014-03-01T00:41:00Z</dcterms:created>
  <dcterms:modified xsi:type="dcterms:W3CDTF">2014-03-01T00:42:00Z</dcterms:modified>
</cp:coreProperties>
</file>